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320" w:rsidRPr="00BF3320" w:rsidRDefault="00BF3320" w:rsidP="00BF3320">
      <w:pPr>
        <w:spacing w:before="71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F3320">
        <w:rPr>
          <w:rFonts w:asciiTheme="minorHAnsi" w:hAnsiTheme="minorHAnsi" w:cstheme="minorHAnsi"/>
          <w:b/>
          <w:color w:val="575756"/>
          <w:w w:val="105"/>
          <w:sz w:val="24"/>
          <w:szCs w:val="24"/>
        </w:rPr>
        <w:t>S</w:t>
      </w:r>
      <w:bookmarkStart w:id="0" w:name="_GoBack"/>
      <w:bookmarkEnd w:id="0"/>
      <w:r w:rsidRPr="00BF3320">
        <w:rPr>
          <w:rFonts w:asciiTheme="minorHAnsi" w:hAnsiTheme="minorHAnsi" w:cstheme="minorHAnsi"/>
          <w:b/>
          <w:color w:val="575756"/>
          <w:w w:val="105"/>
          <w:sz w:val="24"/>
          <w:szCs w:val="24"/>
        </w:rPr>
        <w:t>ummary</w:t>
      </w:r>
    </w:p>
    <w:p w:rsidR="00BF3320" w:rsidRPr="00BF3320" w:rsidRDefault="00BF3320" w:rsidP="00BF3320">
      <w:pPr>
        <w:spacing w:before="115"/>
        <w:ind w:left="113"/>
        <w:rPr>
          <w:rFonts w:asciiTheme="minorHAnsi" w:hAnsiTheme="minorHAnsi" w:cstheme="minorHAnsi"/>
          <w:b/>
          <w:sz w:val="24"/>
          <w:szCs w:val="24"/>
        </w:rPr>
      </w:pPr>
      <w:r w:rsidRPr="00BF3320">
        <w:rPr>
          <w:rFonts w:asciiTheme="minorHAnsi" w:hAnsiTheme="minorHAnsi" w:cstheme="minorHAnsi"/>
          <w:b/>
          <w:color w:val="575756"/>
          <w:sz w:val="24"/>
          <w:szCs w:val="24"/>
        </w:rPr>
        <w:t>Objective</w:t>
      </w:r>
    </w:p>
    <w:p w:rsidR="00BF3320" w:rsidRPr="00BF3320" w:rsidRDefault="00BF3320" w:rsidP="00BF3320">
      <w:pPr>
        <w:spacing w:before="39" w:line="276" w:lineRule="auto"/>
        <w:ind w:left="113" w:right="111"/>
        <w:jc w:val="both"/>
        <w:rPr>
          <w:rFonts w:asciiTheme="minorHAnsi" w:hAnsiTheme="minorHAnsi" w:cstheme="minorHAnsi"/>
          <w:i/>
          <w:sz w:val="24"/>
          <w:szCs w:val="24"/>
        </w:rPr>
      </w:pP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To evaluate the impact of omega-3 polyunsaturated fatty acids (PUSFA) on myocardial arrhythmic activity and characteristics of cardiac rhythm variability in patients with unstable angina</w:t>
      </w:r>
    </w:p>
    <w:p w:rsidR="00BF3320" w:rsidRPr="00BF3320" w:rsidRDefault="00BF3320" w:rsidP="00BF3320">
      <w:pPr>
        <w:spacing w:before="77"/>
        <w:ind w:left="113"/>
        <w:rPr>
          <w:rFonts w:asciiTheme="minorHAnsi" w:hAnsiTheme="minorHAnsi" w:cstheme="minorHAnsi"/>
          <w:b/>
          <w:sz w:val="24"/>
          <w:szCs w:val="24"/>
        </w:rPr>
      </w:pPr>
      <w:r w:rsidRPr="00BF3320">
        <w:rPr>
          <w:rFonts w:asciiTheme="minorHAnsi" w:hAnsiTheme="minorHAnsi" w:cstheme="minorHAnsi"/>
          <w:b/>
          <w:color w:val="575756"/>
          <w:sz w:val="24"/>
          <w:szCs w:val="24"/>
        </w:rPr>
        <w:t>Materials and methods</w:t>
      </w:r>
    </w:p>
    <w:p w:rsidR="00BF3320" w:rsidRPr="00BF3320" w:rsidRDefault="00BF3320" w:rsidP="00BF3320">
      <w:pPr>
        <w:spacing w:before="39" w:line="276" w:lineRule="auto"/>
        <w:ind w:left="113" w:right="11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We’ve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conducted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an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open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randomized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trial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that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involved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41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patients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aged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45-70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years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and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diagnosed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with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 xml:space="preserve">coronary heart disease (CHD): unstable angina. All patients underwent standard complex therapy. Patients were subdi- vided into two groups: omega-3 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PUSFA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 xml:space="preserve">supplement (1g/day) was added to the therapy in the first (main) group, whereas the patients of the second (control) group received standard therapy. Patients underwent 24-h electro- cardiogram (ECG) monitoring with estimation of ventricular and supraventricular extrasystolic activity and 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main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characteristics of cardiac rhythm variability on the 3</w:t>
      </w:r>
      <w:r w:rsidRPr="00BF3320">
        <w:rPr>
          <w:rFonts w:asciiTheme="minorHAnsi" w:hAnsiTheme="minorHAnsi" w:cstheme="minorHAnsi"/>
          <w:i/>
          <w:w w:val="105"/>
          <w:position w:val="7"/>
          <w:sz w:val="24"/>
          <w:szCs w:val="24"/>
        </w:rPr>
        <w:t xml:space="preserve">rd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and 14</w:t>
      </w:r>
      <w:r w:rsidRPr="00BF3320">
        <w:rPr>
          <w:rFonts w:asciiTheme="minorHAnsi" w:hAnsiTheme="minorHAnsi" w:cstheme="minorHAnsi"/>
          <w:i/>
          <w:w w:val="105"/>
          <w:position w:val="7"/>
          <w:sz w:val="24"/>
          <w:szCs w:val="24"/>
        </w:rPr>
        <w:t xml:space="preserve">th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days of</w:t>
      </w:r>
      <w:r w:rsidRPr="00BF3320">
        <w:rPr>
          <w:rFonts w:asciiTheme="minorHAnsi" w:hAnsiTheme="minorHAnsi" w:cstheme="minorHAnsi"/>
          <w:i/>
          <w:spacing w:val="12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treatment.</w:t>
      </w:r>
    </w:p>
    <w:p w:rsidR="00BF3320" w:rsidRPr="00BF3320" w:rsidRDefault="00BF3320" w:rsidP="00BF3320">
      <w:pPr>
        <w:spacing w:before="74"/>
        <w:ind w:left="113"/>
        <w:rPr>
          <w:rFonts w:asciiTheme="minorHAnsi" w:hAnsiTheme="minorHAnsi" w:cstheme="minorHAnsi"/>
          <w:b/>
          <w:sz w:val="24"/>
          <w:szCs w:val="24"/>
        </w:rPr>
      </w:pPr>
      <w:r w:rsidRPr="00BF3320">
        <w:rPr>
          <w:rFonts w:asciiTheme="minorHAnsi" w:hAnsiTheme="minorHAnsi" w:cstheme="minorHAnsi"/>
          <w:b/>
          <w:color w:val="575756"/>
          <w:sz w:val="24"/>
          <w:szCs w:val="24"/>
        </w:rPr>
        <w:t>Results</w:t>
      </w:r>
    </w:p>
    <w:p w:rsidR="00BF3320" w:rsidRPr="00BF3320" w:rsidRDefault="00BF3320" w:rsidP="00BF3320">
      <w:pPr>
        <w:spacing w:before="19" w:line="276" w:lineRule="auto"/>
        <w:ind w:left="113" w:right="11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Estimation</w:t>
      </w:r>
      <w:r w:rsidRPr="00BF3320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of</w:t>
      </w:r>
      <w:r w:rsidRPr="00BF3320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supraventricular</w:t>
      </w:r>
      <w:r w:rsidRPr="00BF3320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activity</w:t>
      </w:r>
      <w:r w:rsidRPr="00BF3320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during</w:t>
      </w:r>
      <w:r w:rsidRPr="00BF3320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24</w:t>
      </w:r>
      <w:r w:rsidRPr="00BF3320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hours</w:t>
      </w:r>
      <w:r w:rsidRPr="00BF3320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revealed</w:t>
      </w:r>
      <w:r w:rsidRPr="00BF3320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significant</w:t>
      </w:r>
      <w:r w:rsidRPr="00BF3320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reduction</w:t>
      </w:r>
      <w:r w:rsidRPr="00BF3320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of</w:t>
      </w:r>
      <w:r w:rsidRPr="00BF3320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the</w:t>
      </w:r>
      <w:r w:rsidRPr="00BF3320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number</w:t>
      </w:r>
      <w:r w:rsidRPr="00BF3320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of</w:t>
      </w:r>
      <w:r w:rsidRPr="00BF3320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extrasysto- les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both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in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the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main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and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control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groups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(reduction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from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40.5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(21.8-122.5)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to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29.5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(6-68.3)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in</w:t>
      </w:r>
      <w:r w:rsidRPr="00BF3320">
        <w:rPr>
          <w:rFonts w:asciiTheme="minorHAnsi" w:hAnsiTheme="minorHAnsi" w:cstheme="minorHAnsi"/>
          <w:i/>
          <w:spacing w:val="-1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the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main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group</w:t>
      </w:r>
      <w:r w:rsidRPr="00BF3320">
        <w:rPr>
          <w:rFonts w:asciiTheme="minorHAnsi" w:hAnsiTheme="minorHAnsi" w:cstheme="minorHAnsi"/>
          <w:i/>
          <w:spacing w:val="-1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(p&lt;0.01) and</w:t>
      </w:r>
      <w:r w:rsidRPr="00BF3320">
        <w:rPr>
          <w:rFonts w:asciiTheme="minorHAnsi" w:hAnsiTheme="minorHAnsi" w:cstheme="minorHAnsi"/>
          <w:i/>
          <w:spacing w:val="12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reduction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from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10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(0-18)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to</w:t>
      </w:r>
      <w:r w:rsidRPr="00BF3320">
        <w:rPr>
          <w:rFonts w:asciiTheme="minorHAnsi" w:hAnsiTheme="minorHAnsi" w:cstheme="minorHAnsi"/>
          <w:i/>
          <w:spacing w:val="12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7.5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(3.8-56.3)</w:t>
      </w:r>
      <w:r w:rsidRPr="00BF3320">
        <w:rPr>
          <w:rFonts w:asciiTheme="minorHAnsi" w:hAnsiTheme="minorHAnsi" w:cstheme="minorHAnsi"/>
          <w:i/>
          <w:spacing w:val="26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in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the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control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group</w:t>
      </w:r>
      <w:r w:rsidRPr="00BF3320">
        <w:rPr>
          <w:rFonts w:asciiTheme="minorHAnsi" w:hAnsiTheme="minorHAnsi" w:cstheme="minorHAnsi"/>
          <w:i/>
          <w:spacing w:val="12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(p&lt;0.05).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Differences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between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groups</w:t>
      </w:r>
      <w:r w:rsidRPr="00BF3320">
        <w:rPr>
          <w:rFonts w:asciiTheme="minorHAnsi" w:hAnsiTheme="minorHAnsi" w:cstheme="minorHAnsi"/>
          <w:i/>
          <w:spacing w:val="1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were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statistically significant. In the main group the number of ventricular extrasystoles reduced significantly from 7.5 (1.8-31.8)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to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1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(0-18.8),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p&lt;0.05.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Comparison</w:t>
      </w:r>
      <w:r w:rsidRPr="00BF3320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of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cardiac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rhythm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variability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parameters</w:t>
      </w:r>
      <w:r w:rsidRPr="00BF3320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revealed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significant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increase of SDNN (by 38% and 28.7% in main and control groups, respectively, p&lt;0.01) and HF in both groups (p&lt;0.05), pNN50</w:t>
      </w:r>
      <w:r w:rsidRPr="00BF3320">
        <w:rPr>
          <w:rFonts w:asciiTheme="minorHAnsi" w:hAnsiTheme="minorHAnsi" w:cstheme="minorHAnsi"/>
          <w:i/>
          <w:spacing w:val="-4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and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VLF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in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the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main</w:t>
      </w:r>
      <w:r w:rsidRPr="00BF3320">
        <w:rPr>
          <w:rFonts w:asciiTheme="minorHAnsi" w:hAnsiTheme="minorHAnsi" w:cstheme="minorHAnsi"/>
          <w:i/>
          <w:spacing w:val="-4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group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by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41.4%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and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21.5%,</w:t>
      </w:r>
      <w:r w:rsidRPr="00BF3320">
        <w:rPr>
          <w:rFonts w:asciiTheme="minorHAnsi" w:hAnsiTheme="minorHAnsi" w:cstheme="minorHAnsi"/>
          <w:i/>
          <w:spacing w:val="-4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respectively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(p&lt;0.01,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p&lt;0.05).</w:t>
      </w:r>
    </w:p>
    <w:p w:rsidR="00BF3320" w:rsidRPr="00BF3320" w:rsidRDefault="00BF3320" w:rsidP="00BF3320">
      <w:pPr>
        <w:spacing w:before="75"/>
        <w:ind w:left="113"/>
        <w:rPr>
          <w:rFonts w:asciiTheme="minorHAnsi" w:hAnsiTheme="minorHAnsi" w:cstheme="minorHAnsi"/>
          <w:b/>
          <w:sz w:val="24"/>
          <w:szCs w:val="24"/>
        </w:rPr>
      </w:pPr>
      <w:r w:rsidRPr="00BF3320">
        <w:rPr>
          <w:rFonts w:asciiTheme="minorHAnsi" w:hAnsiTheme="minorHAnsi" w:cstheme="minorHAnsi"/>
          <w:b/>
          <w:color w:val="575756"/>
          <w:sz w:val="24"/>
          <w:szCs w:val="24"/>
        </w:rPr>
        <w:t>Conclusion</w:t>
      </w:r>
    </w:p>
    <w:p w:rsidR="00BF3320" w:rsidRPr="00BF3320" w:rsidRDefault="00BF3320" w:rsidP="00BF3320">
      <w:pPr>
        <w:spacing w:before="39" w:line="276" w:lineRule="auto"/>
        <w:ind w:left="113" w:right="111"/>
        <w:jc w:val="both"/>
        <w:rPr>
          <w:rFonts w:asciiTheme="minorHAnsi" w:hAnsiTheme="minorHAnsi" w:cstheme="minorHAnsi"/>
          <w:i/>
          <w:sz w:val="24"/>
          <w:szCs w:val="24"/>
        </w:rPr>
      </w:pP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Addition</w:t>
      </w:r>
      <w:r w:rsidRPr="00BF3320">
        <w:rPr>
          <w:rFonts w:asciiTheme="minorHAnsi" w:hAnsiTheme="minorHAnsi" w:cstheme="minorHAnsi"/>
          <w:i/>
          <w:spacing w:val="-9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of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omega-3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>PUSFA</w:t>
      </w:r>
      <w:r w:rsidRPr="00BF3320">
        <w:rPr>
          <w:rFonts w:asciiTheme="minorHAnsi" w:hAnsiTheme="minorHAnsi" w:cstheme="minorHAnsi"/>
          <w:i/>
          <w:spacing w:val="-9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(1g/day)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supplement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to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the</w:t>
      </w:r>
      <w:r w:rsidRPr="00BF3320">
        <w:rPr>
          <w:rFonts w:asciiTheme="minorHAnsi" w:hAnsiTheme="minorHAnsi" w:cstheme="minorHAnsi"/>
          <w:i/>
          <w:spacing w:val="-9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complex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therapy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of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patients</w:t>
      </w:r>
      <w:r w:rsidRPr="00BF3320">
        <w:rPr>
          <w:rFonts w:asciiTheme="minorHAnsi" w:hAnsiTheme="minorHAnsi" w:cstheme="minorHAnsi"/>
          <w:i/>
          <w:spacing w:val="-9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with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unstable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angina</w:t>
      </w:r>
      <w:r w:rsidRPr="00BF3320">
        <w:rPr>
          <w:rFonts w:asciiTheme="minorHAnsi" w:hAnsiTheme="minorHAnsi" w:cstheme="minorHAnsi"/>
          <w:i/>
          <w:spacing w:val="-8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leads</w:t>
      </w:r>
      <w:r w:rsidRPr="00BF3320">
        <w:rPr>
          <w:rFonts w:asciiTheme="minorHAnsi" w:hAnsiTheme="minorHAnsi" w:cstheme="minorHAnsi"/>
          <w:i/>
          <w:spacing w:val="-9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to reduction of ventricular arrhythmic activity and increases total reserve of neurohumoral</w:t>
      </w:r>
      <w:r w:rsidRPr="00BF3320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regulation.</w:t>
      </w:r>
    </w:p>
    <w:p w:rsidR="00BF3320" w:rsidRPr="00BF3320" w:rsidRDefault="00BF3320" w:rsidP="00BF3320">
      <w:pPr>
        <w:spacing w:before="77"/>
        <w:ind w:left="113"/>
        <w:rPr>
          <w:rFonts w:asciiTheme="minorHAnsi" w:hAnsiTheme="minorHAnsi" w:cstheme="minorHAnsi"/>
          <w:b/>
          <w:sz w:val="24"/>
          <w:szCs w:val="24"/>
        </w:rPr>
      </w:pPr>
      <w:r w:rsidRPr="00BF3320">
        <w:rPr>
          <w:rFonts w:asciiTheme="minorHAnsi" w:hAnsiTheme="minorHAnsi" w:cstheme="minorHAnsi"/>
          <w:b/>
          <w:color w:val="575756"/>
          <w:sz w:val="24"/>
          <w:szCs w:val="24"/>
        </w:rPr>
        <w:t>Key words</w:t>
      </w:r>
    </w:p>
    <w:p w:rsidR="00BF3320" w:rsidRPr="00BF3320" w:rsidRDefault="00BF3320" w:rsidP="00BF3320">
      <w:pPr>
        <w:spacing w:before="39"/>
        <w:ind w:left="113"/>
        <w:jc w:val="both"/>
        <w:rPr>
          <w:rFonts w:asciiTheme="minorHAnsi" w:hAnsiTheme="minorHAnsi" w:cstheme="minorHAnsi"/>
          <w:i/>
          <w:sz w:val="24"/>
          <w:szCs w:val="24"/>
        </w:rPr>
      </w:pPr>
      <w:r w:rsidRPr="00BF3320">
        <w:rPr>
          <w:rFonts w:asciiTheme="minorHAnsi" w:hAnsiTheme="minorHAnsi" w:cstheme="minorHAnsi"/>
          <w:i/>
          <w:w w:val="105"/>
          <w:sz w:val="24"/>
          <w:szCs w:val="24"/>
        </w:rPr>
        <w:t>Omega-3 polyunsaturated fatty acids, unstable angina, arrhythmic activity, cardiac rhythm variability.</w:t>
      </w:r>
    </w:p>
    <w:p w:rsidR="00BF3320" w:rsidRPr="00BF3320" w:rsidRDefault="00BF3320" w:rsidP="00BF3320">
      <w:pPr>
        <w:spacing w:before="38" w:line="276" w:lineRule="auto"/>
        <w:ind w:left="113" w:right="111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CF66D9" w:rsidRPr="00BF3320" w:rsidRDefault="00CF66D9" w:rsidP="00CF66D9">
      <w:pPr>
        <w:spacing w:before="39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CF66D9" w:rsidRPr="00BF3320" w:rsidRDefault="00CF66D9" w:rsidP="00CF66D9">
      <w:pPr>
        <w:rPr>
          <w:rFonts w:asciiTheme="minorHAnsi" w:hAnsiTheme="minorHAnsi" w:cstheme="minorHAnsi"/>
          <w:i/>
          <w:sz w:val="24"/>
          <w:szCs w:val="24"/>
        </w:rPr>
      </w:pPr>
    </w:p>
    <w:p w:rsidR="008F2EEB" w:rsidRPr="00BF3320" w:rsidRDefault="008F2EEB">
      <w:pPr>
        <w:rPr>
          <w:rFonts w:asciiTheme="minorHAnsi" w:hAnsiTheme="minorHAnsi" w:cstheme="minorHAnsi"/>
          <w:sz w:val="24"/>
          <w:szCs w:val="24"/>
        </w:rPr>
      </w:pPr>
    </w:p>
    <w:sectPr w:rsidR="008F2EEB" w:rsidRPr="00BF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6D9"/>
    <w:rsid w:val="008F2EEB"/>
    <w:rsid w:val="00BF3320"/>
    <w:rsid w:val="00CF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569FE4"/>
  <w15:chartTrackingRefBased/>
  <w15:docId w15:val="{BF2C8236-1FF5-4D29-BD0A-CAF06571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6D9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2020-04-08T08:50:00Z</dcterms:created>
  <dcterms:modified xsi:type="dcterms:W3CDTF">2020-04-08T08:50:00Z</dcterms:modified>
</cp:coreProperties>
</file>